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10"/>
          <w:szCs w:val="10"/>
        </w:rPr>
      </w:pPr>
      <w:r>
        <w:rPr>
          <w:b/>
          <w:sz w:val="72"/>
          <w:szCs w:val="72"/>
          <w:rtl w:val="0"/>
        </w:rPr>
        <w:t xml:space="preserve"> </w:t>
      </w:r>
      <w:r>
        <w:rPr>
          <w:b/>
          <w:sz w:val="72"/>
          <w:szCs w:val="72"/>
          <w:rtl w:val="0"/>
        </w:rPr>
        <w:t xml:space="preserve">FICHE ACTION VNE N°12</w:t>
      </w:r>
      <w:r>
        <w:rPr>
          <w:b/>
          <w:sz w:val="10"/>
          <w:szCs w:val="10"/>
        </w:rPr>
      </w:r>
      <w:r>
        <w:rPr>
          <w:b/>
          <w:sz w:val="10"/>
          <w:szCs w:val="10"/>
        </w:rPr>
      </w:r>
    </w:p>
    <w:tbl>
      <w:tblPr>
        <w:tblStyle w:val="907"/>
        <w:tblW w:w="11220" w:type="dxa"/>
        <w:tblInd w:w="-11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3000"/>
        <w:gridCol w:w="2970"/>
        <w:gridCol w:w="2655"/>
        <w:gridCol w:w="2595"/>
        <w:tblGridChange w:id="0">
          <w:tblGrid>
            <w:gridCol w:w="3000"/>
            <w:gridCol w:w="2970"/>
            <w:gridCol w:w="2655"/>
            <w:gridCol w:w="2595"/>
          </w:tblGrid>
        </w:tblGridChange>
      </w:tblGrid>
      <w:tr>
        <w:trPr>
          <w:cantSplit w:val="false"/>
          <w:trHeight w:val="510"/>
        </w:trPr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0"/>
                <w:szCs w:val="20"/>
              </w:rPr>
            </w:pPr>
            <w:r/>
            <w:bookmarkStart w:id="0" w:name="_n33g5qsgodkw"/>
            <w:r/>
            <w:bookmarkEnd w:id="0"/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221400"/>
                      <wp:effectExtent l="0" t="0" r="0" b="0"/>
                      <wp:docPr id="1" name="image1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jpg"/>
                              <pic:cNvPicPr/>
                              <pic:nvPr/>
                            </pic:nvPicPr>
                            <pic:blipFill>
                              <a:blip r:embed="rId9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2214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42.52pt;height:17.43pt;mso-wrap-distance-left:0.00pt;mso-wrap-distance-top:0.00pt;mso-wrap-distance-right:0.00pt;mso-wrap-distance-bottom:0.00pt;z-index:1;">
                      <v:imagedata r:id="rId9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540000"/>
                      <wp:effectExtent l="0" t="0" r="0" b="0"/>
                      <wp:docPr id="2" name="image2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.jpg"/>
                              <pic:cNvPicPr/>
                              <pic:nvPr/>
                            </pic:nvPicPr>
                            <pic:blipFill>
                              <a:blip r:embed="rId10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5400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" o:spid="_x0000_s1" type="#_x0000_t75" style="width:42.52pt;height:42.52pt;mso-wrap-distance-left:0.00pt;mso-wrap-distance-top:0.00pt;mso-wrap-distance-right:0.00pt;mso-wrap-distance-bottom:0.00pt;z-index:1;">
                      <v:imagedata r:id="rId10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540000"/>
                      <wp:effectExtent l="0" t="0" r="0" b="0"/>
                      <wp:docPr id="3" name="image3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3.png"/>
                              <pic:cNvPicPr/>
                              <pic:nvPr/>
                            </pic:nvPicPr>
                            <pic:blipFill>
                              <a:blip r:embed="rId11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5400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width:42.52pt;height:42.52pt;mso-wrap-distance-left:0.00pt;mso-wrap-distance-top:0.00pt;mso-wrap-distance-right:0.00pt;mso-wrap-distance-bottom:0.00pt;z-index:1;">
                      <v:imagedata r:id="rId11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AXES STRATÉGIQUES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b497d6"/>
              </w:rPr>
            </w:pPr>
            <w:r>
              <w:rPr>
                <w:shd w:val="clear" w:color="auto" w:fill="b497d6"/>
                <w:rtl w:val="0"/>
              </w:rPr>
              <w:t xml:space="preserve">AXE IV</w:t>
            </w:r>
            <w:r>
              <w:rPr>
                <w:shd w:val="clear" w:color="auto" w:fill="b497d6"/>
              </w:rPr>
            </w:r>
            <w:r>
              <w:rPr>
                <w:shd w:val="clear" w:color="auto" w:fill="b497d6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ÉTAT D’AVANCEMENT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Intention ; Déblocage en novembre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NOM DE LA FICHE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Développer une filière de réemploi au service de l’inclusion numérique dans le Var 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PILOTE(S) / PORTEUR(S)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A définir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SUPPORTS/PARTENAIRES/ PRESTATAIRES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Hub du Sud : Prestataire pour le SGAR sur mission « annuaire »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CONTRIBUTEURS/ACTEURS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Banque du numérique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ACTION</w:t>
            </w: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NOUVELLE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EN COURS D’ÉLABORATION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DÉJÀ ENGAGÉE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DIAGNOSTIC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CONSTATS</w:t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L’inclusion numérique comprend aussi l’accès à l’outil. Le reconditionnement est une solution eco-responsable qui permet aux plus démunis de se fournir en matériel gratuitement ou à tarif solidaire.</w:t>
            </w:r>
            <w:r/>
          </w:p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Bien que le besoin matériel des illectrés du Var ne soit pas caractérisé, le recours à une </w:t>
            </w:r>
            <w:r>
              <w:rPr>
                <w:rtl w:val="0"/>
              </w:rPr>
              <w:t xml:space="preserve">filière</w:t>
            </w:r>
            <w:r>
              <w:rPr>
                <w:rtl w:val="0"/>
              </w:rPr>
              <w:t xml:space="preserve"> de réemploi est une composante de la stratégie locale d’inclusion numérique. Cette </w:t>
            </w:r>
            <w:r>
              <w:rPr>
                <w:rtl w:val="0"/>
              </w:rPr>
              <w:t xml:space="preserve">filière</w:t>
            </w:r>
            <w:r>
              <w:rPr>
                <w:rtl w:val="0"/>
              </w:rPr>
              <w:t xml:space="preserve"> devant couvrir une </w:t>
            </w:r>
            <w:r>
              <w:rPr>
                <w:rtl w:val="0"/>
              </w:rPr>
              <w:t xml:space="preserve">chaîne</w:t>
            </w:r>
            <w:r>
              <w:rPr>
                <w:rtl w:val="0"/>
              </w:rPr>
              <w:t xml:space="preserve"> logistique qui part de la collecte des </w:t>
            </w:r>
            <w:r>
              <w:rPr>
                <w:rtl w:val="0"/>
              </w:rPr>
              <w:t xml:space="preserve">matériels</w:t>
            </w:r>
            <w:r>
              <w:rPr>
                <w:rtl w:val="0"/>
              </w:rPr>
              <w:t xml:space="preserve"> à reconditionner pour aboutir à la distribution aux bénéficiaires avec un SAV, en passant par le reconditionnement, le stockage, la gestion des déchets… le choix de sa mise en oeuvre est complexe: développer une filière, faciliter l’implantation d’une </w:t>
            </w:r>
            <w:r>
              <w:rPr>
                <w:rtl w:val="0"/>
              </w:rPr>
              <w:t xml:space="preserve">filière</w:t>
            </w:r>
            <w:r>
              <w:rPr>
                <w:rtl w:val="0"/>
              </w:rPr>
              <w:t xml:space="preserve"> existante, s’intégrer dans une stratégie régionale… Divers scénarios sont possibles.</w:t>
            </w:r>
            <w:r/>
          </w:p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La Préfecture de Région a missionné Le Hub du Sud pour élaborer un diagnostic régional et faire des préconisations d’organisation notamment territoriale  et le Var dispose déjà de ses propres acteurs et initiatives locales : NumériSud,  la FOL, etc.</w:t>
            </w:r>
            <w:r/>
          </w:p>
        </w:tc>
      </w:tr>
      <w:tr>
        <w:trPr>
          <w:cantSplit w:val="false"/>
          <w:trHeight w:val="912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/>
            </w:pP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Garantir une offre globale d’inclusion numérique: accès aux réseaux de télécommunication, </w:t>
            </w:r>
            <w:r>
              <w:rPr>
                <w:b/>
                <w:rtl w:val="0"/>
              </w:rPr>
              <w:t xml:space="preserve">accès au matériel</w:t>
            </w:r>
            <w:r>
              <w:rPr>
                <w:rtl w:val="0"/>
              </w:rPr>
              <w:t xml:space="preserve">, accompagnement-autonomisation.</w:t>
            </w:r>
            <w:r/>
          </w:p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Soutenir les initiatives locales insérées  dans un modèle économiquement viable et dimensionné pour répondre aux besoins du Var.</w:t>
            </w:r>
            <w:r/>
          </w:p>
        </w:tc>
      </w:tr>
      <w:tr>
        <w:trPr>
          <w:cantSplit w:val="false"/>
          <w:trHeight w:val="836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widowControl w:val="false"/>
              <w:pBdr/>
              <w:spacing w:line="276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RÉPONSE À DEMANDE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FNE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8 - Accompagner les acteurs publics et privés dans leurs dons de matériels informatiques</w:t>
            </w:r>
            <w:r/>
          </w:p>
        </w:tc>
      </w:tr>
      <w:tr>
        <w:trPr>
          <w:cantSplit w:val="false"/>
          <w:trHeight w:val="836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SÉNAT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Proposition n° 34 :</w:t>
            </w:r>
            <w:r>
              <w:rPr>
                <w:rtl w:val="0"/>
              </w:rPr>
              <w:t xml:space="preserve"> Expérimenter la mise en place d'un chèque-équipement , destiné à la location ou à l'achat d'un équipement de préférence reconditionné pour les ménages à bas revenus. Conditionner la remise du chèque à la participation à une formation financée par le pass.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COMMISSION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Proposition n° 18 : Favoriser l'attribution de fonds au titre de la DETR à des programmes d'acquisition d'équipements numériques destinés à l'accompagnement des usagers.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rtl w:val="0"/>
              </w:rPr>
            </w:r>
            <w:r/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Caractériser le besoin en matériel des illectrés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1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A définir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ÉTAPES DE MISE EN PLACE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DURÉE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ANNUELLE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PLURIANNUELLE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 w:after="0" w:before="0" w:line="240" w:lineRule="auto"/>
              <w:ind w:hanging="360" w:left="425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 DÉBUT: 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         FIN : 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406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PÉRIMÈTRE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Région pour un impact sur le Var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PUBLIC CIBLE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Direct : porteurs d’actions de reconditionnement, les porteurs d’actions d’inclusion numérique, les fournisseurs de matériels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Indirect : les bénéficiaires de ces actions</w:t>
            </w:r>
            <w:r/>
          </w:p>
        </w:tc>
      </w:tr>
      <w:tr>
        <w:trPr>
          <w:cantSplit w:val="false"/>
          <w:trHeight w:val="66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RÉSULTATS ATTENDUS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MOYENS MOBILISÉS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HUMAINS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MATÉRIELS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FINANCIER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 w:firstLine="0" w:left="0"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?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?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?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INDICATEURS D’ÉVALUATION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 w:firstLine="0" w:left="0"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RESSOURCES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/>
            <w:hyperlink r:id="rId12" w:tooltip="https://www.numerisud.com/" w:history="1">
              <w:r>
                <w:rPr>
                  <w:color w:val="1155cc"/>
                  <w:u w:val="single"/>
                  <w:rtl w:val="0"/>
                </w:rPr>
                <w:t xml:space="preserve">https://www.numerisud.com/</w:t>
              </w:r>
            </w:hyperlink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Diagnostic régional en cours de réalisation par la Préfecture de région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Plein de ressources : à documenter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PERSPECTIVES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</w:r>
            <w:r/>
          </w:p>
        </w:tc>
      </w:tr>
    </w:tbl>
    <w:p>
      <w:pPr>
        <w:pBdr/>
        <w:spacing w:after="200" w:before="0"/>
        <w:ind/>
        <w:rPr/>
      </w:pPr>
      <w:r>
        <w:rPr>
          <w:rtl w:val="0"/>
        </w:rPr>
      </w:r>
      <w:r/>
    </w:p>
    <w:sectPr>
      <w:footnotePr/>
      <w:endnotePr/>
      <w:type w:val="nextPage"/>
      <w:pgSz w:h="16838" w:orient="portrait" w:w="11906"/>
      <w:pgMar w:top="1474" w:right="1983" w:bottom="851" w:left="1418" w:header="0" w:footer="0" w:gutter="0"/>
      <w:pgNumType w:start="1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●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●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●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2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3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4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5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6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fr-FR" w:eastAsia="zh-CN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"/>
    <w:basedOn w:val="71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Table Grid Light"/>
    <w:basedOn w:val="71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1"/>
    <w:basedOn w:val="71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2"/>
    <w:basedOn w:val="71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1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2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3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4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5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6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1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2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3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4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5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6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1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2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3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4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5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6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4">
    <w:name w:val="Heading 7"/>
    <w:basedOn w:val="898"/>
    <w:next w:val="898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5">
    <w:name w:val="Heading 8"/>
    <w:basedOn w:val="898"/>
    <w:next w:val="898"/>
    <w:link w:val="8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Heading 9"/>
    <w:basedOn w:val="898"/>
    <w:next w:val="898"/>
    <w:link w:val="8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7" w:default="1">
    <w:name w:val="Default Paragraph Font"/>
    <w:uiPriority w:val="1"/>
    <w:semiHidden/>
    <w:unhideWhenUsed/>
    <w:pPr>
      <w:pBdr/>
      <w:spacing/>
      <w:ind/>
    </w:p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character" w:styleId="849">
    <w:name w:val="Heading 1 Char"/>
    <w:basedOn w:val="847"/>
    <w:link w:val="89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0">
    <w:name w:val="Heading 2 Char"/>
    <w:basedOn w:val="847"/>
    <w:link w:val="9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1">
    <w:name w:val="Heading 3 Char"/>
    <w:basedOn w:val="847"/>
    <w:link w:val="9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2">
    <w:name w:val="Heading 4 Char"/>
    <w:basedOn w:val="847"/>
    <w:link w:val="90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3">
    <w:name w:val="Heading 5 Char"/>
    <w:basedOn w:val="847"/>
    <w:link w:val="90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4">
    <w:name w:val="Heading 6 Char"/>
    <w:basedOn w:val="847"/>
    <w:link w:val="90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>
    <w:name w:val="Heading 7 Char"/>
    <w:basedOn w:val="847"/>
    <w:link w:val="8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>
    <w:name w:val="Heading 8 Char"/>
    <w:basedOn w:val="847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Heading 9 Char"/>
    <w:basedOn w:val="847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Title Char"/>
    <w:basedOn w:val="847"/>
    <w:link w:val="90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59">
    <w:name w:val="Subtitle Char"/>
    <w:basedOn w:val="847"/>
    <w:link w:val="90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0">
    <w:name w:val="Quote"/>
    <w:basedOn w:val="898"/>
    <w:next w:val="898"/>
    <w:link w:val="86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1">
    <w:name w:val="Quote Char"/>
    <w:basedOn w:val="847"/>
    <w:link w:val="86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2">
    <w:name w:val="List Paragraph"/>
    <w:basedOn w:val="898"/>
    <w:uiPriority w:val="34"/>
    <w:qFormat/>
    <w:pPr>
      <w:pBdr/>
      <w:spacing/>
      <w:ind w:left="720"/>
      <w:contextualSpacing w:val="true"/>
    </w:pPr>
  </w:style>
  <w:style w:type="character" w:styleId="863">
    <w:name w:val="Intense Emphasis"/>
    <w:basedOn w:val="8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4">
    <w:name w:val="Intense Quote"/>
    <w:basedOn w:val="898"/>
    <w:next w:val="898"/>
    <w:link w:val="86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5">
    <w:name w:val="Intense Quote Char"/>
    <w:basedOn w:val="847"/>
    <w:link w:val="86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6">
    <w:name w:val="Intense Reference"/>
    <w:basedOn w:val="8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7">
    <w:name w:val="No Spacing"/>
    <w:basedOn w:val="898"/>
    <w:uiPriority w:val="1"/>
    <w:qFormat/>
    <w:pPr>
      <w:pBdr/>
      <w:spacing w:after="0" w:line="240" w:lineRule="auto"/>
      <w:ind/>
    </w:pPr>
  </w:style>
  <w:style w:type="character" w:styleId="868">
    <w:name w:val="Subtle Emphasis"/>
    <w:basedOn w:val="8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9">
    <w:name w:val="Emphasis"/>
    <w:basedOn w:val="847"/>
    <w:uiPriority w:val="20"/>
    <w:qFormat/>
    <w:pPr>
      <w:pBdr/>
      <w:spacing/>
      <w:ind/>
    </w:pPr>
    <w:rPr>
      <w:i/>
      <w:iCs/>
    </w:rPr>
  </w:style>
  <w:style w:type="character" w:styleId="870">
    <w:name w:val="Strong"/>
    <w:basedOn w:val="847"/>
    <w:uiPriority w:val="22"/>
    <w:qFormat/>
    <w:pPr>
      <w:pBdr/>
      <w:spacing/>
      <w:ind/>
    </w:pPr>
    <w:rPr>
      <w:b/>
      <w:bCs/>
    </w:rPr>
  </w:style>
  <w:style w:type="character" w:styleId="871">
    <w:name w:val="Subtle Reference"/>
    <w:basedOn w:val="8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2">
    <w:name w:val="Book Title"/>
    <w:basedOn w:val="8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3">
    <w:name w:val="Header"/>
    <w:basedOn w:val="898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Header Char"/>
    <w:basedOn w:val="847"/>
    <w:link w:val="873"/>
    <w:uiPriority w:val="99"/>
    <w:pPr>
      <w:pBdr/>
      <w:spacing/>
      <w:ind/>
    </w:pPr>
  </w:style>
  <w:style w:type="paragraph" w:styleId="875">
    <w:name w:val="Footer"/>
    <w:basedOn w:val="898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Footer Char"/>
    <w:basedOn w:val="847"/>
    <w:link w:val="875"/>
    <w:uiPriority w:val="99"/>
    <w:pPr>
      <w:pBdr/>
      <w:spacing/>
      <w:ind/>
    </w:pPr>
  </w:style>
  <w:style w:type="paragraph" w:styleId="877">
    <w:name w:val="Caption"/>
    <w:basedOn w:val="898"/>
    <w:next w:val="89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8">
    <w:name w:val="footnote text"/>
    <w:basedOn w:val="898"/>
    <w:link w:val="87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9">
    <w:name w:val="Footnote Text Char"/>
    <w:basedOn w:val="847"/>
    <w:link w:val="878"/>
    <w:uiPriority w:val="99"/>
    <w:semiHidden/>
    <w:pPr>
      <w:pBdr/>
      <w:spacing/>
      <w:ind/>
    </w:pPr>
    <w:rPr>
      <w:sz w:val="20"/>
      <w:szCs w:val="20"/>
    </w:rPr>
  </w:style>
  <w:style w:type="character" w:styleId="880">
    <w:name w:val="foot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paragraph" w:styleId="881">
    <w:name w:val="endnote text"/>
    <w:basedOn w:val="898"/>
    <w:link w:val="8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2">
    <w:name w:val="Endnote Text Char"/>
    <w:basedOn w:val="847"/>
    <w:link w:val="881"/>
    <w:uiPriority w:val="99"/>
    <w:semiHidden/>
    <w:pPr>
      <w:pBdr/>
      <w:spacing/>
      <w:ind/>
    </w:pPr>
    <w:rPr>
      <w:sz w:val="20"/>
      <w:szCs w:val="20"/>
    </w:rPr>
  </w:style>
  <w:style w:type="character" w:styleId="883">
    <w:name w:val="end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character" w:styleId="884">
    <w:name w:val="Hyperlink"/>
    <w:basedOn w:val="8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5">
    <w:name w:val="FollowedHyperlink"/>
    <w:basedOn w:val="8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6">
    <w:name w:val="toc 1"/>
    <w:basedOn w:val="898"/>
    <w:next w:val="898"/>
    <w:uiPriority w:val="39"/>
    <w:unhideWhenUsed/>
    <w:pPr>
      <w:pBdr/>
      <w:spacing w:after="100"/>
      <w:ind/>
    </w:pPr>
  </w:style>
  <w:style w:type="paragraph" w:styleId="887">
    <w:name w:val="toc 2"/>
    <w:basedOn w:val="898"/>
    <w:next w:val="898"/>
    <w:uiPriority w:val="39"/>
    <w:unhideWhenUsed/>
    <w:pPr>
      <w:pBdr/>
      <w:spacing w:after="100"/>
      <w:ind w:left="220"/>
    </w:pPr>
  </w:style>
  <w:style w:type="paragraph" w:styleId="888">
    <w:name w:val="toc 3"/>
    <w:basedOn w:val="898"/>
    <w:next w:val="898"/>
    <w:uiPriority w:val="39"/>
    <w:unhideWhenUsed/>
    <w:pPr>
      <w:pBdr/>
      <w:spacing w:after="100"/>
      <w:ind w:left="440"/>
    </w:pPr>
  </w:style>
  <w:style w:type="paragraph" w:styleId="889">
    <w:name w:val="toc 4"/>
    <w:basedOn w:val="898"/>
    <w:next w:val="898"/>
    <w:uiPriority w:val="39"/>
    <w:unhideWhenUsed/>
    <w:pPr>
      <w:pBdr/>
      <w:spacing w:after="100"/>
      <w:ind w:left="660"/>
    </w:pPr>
  </w:style>
  <w:style w:type="paragraph" w:styleId="890">
    <w:name w:val="toc 5"/>
    <w:basedOn w:val="898"/>
    <w:next w:val="898"/>
    <w:uiPriority w:val="39"/>
    <w:unhideWhenUsed/>
    <w:pPr>
      <w:pBdr/>
      <w:spacing w:after="100"/>
      <w:ind w:left="880"/>
    </w:pPr>
  </w:style>
  <w:style w:type="paragraph" w:styleId="891">
    <w:name w:val="toc 6"/>
    <w:basedOn w:val="898"/>
    <w:next w:val="898"/>
    <w:uiPriority w:val="39"/>
    <w:unhideWhenUsed/>
    <w:pPr>
      <w:pBdr/>
      <w:spacing w:after="100"/>
      <w:ind w:left="1100"/>
    </w:pPr>
  </w:style>
  <w:style w:type="paragraph" w:styleId="892">
    <w:name w:val="toc 7"/>
    <w:basedOn w:val="898"/>
    <w:next w:val="898"/>
    <w:uiPriority w:val="39"/>
    <w:unhideWhenUsed/>
    <w:pPr>
      <w:pBdr/>
      <w:spacing w:after="100"/>
      <w:ind w:left="1320"/>
    </w:pPr>
  </w:style>
  <w:style w:type="paragraph" w:styleId="893">
    <w:name w:val="toc 8"/>
    <w:basedOn w:val="898"/>
    <w:next w:val="898"/>
    <w:uiPriority w:val="39"/>
    <w:unhideWhenUsed/>
    <w:pPr>
      <w:pBdr/>
      <w:spacing w:after="100"/>
      <w:ind w:left="1540"/>
    </w:pPr>
  </w:style>
  <w:style w:type="paragraph" w:styleId="894">
    <w:name w:val="toc 9"/>
    <w:basedOn w:val="898"/>
    <w:next w:val="898"/>
    <w:uiPriority w:val="39"/>
    <w:unhideWhenUsed/>
    <w:pPr>
      <w:pBdr/>
      <w:spacing w:after="100"/>
      <w:ind w:left="1760"/>
    </w:pPr>
  </w:style>
  <w:style w:type="paragraph" w:styleId="895">
    <w:name w:val="TOC Heading"/>
    <w:uiPriority w:val="39"/>
    <w:unhideWhenUsed/>
    <w:pPr>
      <w:pBdr/>
      <w:spacing/>
      <w:ind/>
    </w:pPr>
  </w:style>
  <w:style w:type="paragraph" w:styleId="896">
    <w:name w:val="table of figures"/>
    <w:basedOn w:val="898"/>
    <w:next w:val="898"/>
    <w:uiPriority w:val="99"/>
    <w:unhideWhenUsed/>
    <w:pPr>
      <w:pBdr/>
      <w:spacing w:after="0" w:afterAutospacing="0"/>
      <w:ind/>
    </w:pPr>
  </w:style>
  <w:style w:type="table" w:styleId="897">
    <w:name w:val="TableNormal"/>
    <w:pPr>
      <w:pBdr/>
      <w:spacing/>
      <w:ind/>
    </w:pPr>
    <w:tblPr>
      <w:tblBorders/>
      <w:tblCellMar>
        <w:left w:w="100" w:type="dxa"/>
        <w:top w:w="100" w:type="dxa"/>
        <w:right w:w="100" w:type="dxa"/>
        <w:bottom w:w="10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8" w:default="1">
    <w:name w:val="Normal"/>
    <w:pPr>
      <w:pBdr/>
      <w:spacing/>
      <w:ind/>
    </w:pPr>
  </w:style>
  <w:style w:type="paragraph" w:styleId="899">
    <w:name w:val="Heading 1"/>
    <w:basedOn w:val="898"/>
    <w:next w:val="898"/>
    <w:pPr>
      <w:keepNext w:val="true"/>
      <w:keepLines w:val="true"/>
      <w:pageBreakBefore w:val="false"/>
      <w:pBdr/>
      <w:spacing w:after="120" w:before="480"/>
      <w:ind/>
    </w:pPr>
    <w:rPr>
      <w:b/>
      <w:sz w:val="48"/>
      <w:szCs w:val="48"/>
    </w:rPr>
  </w:style>
  <w:style w:type="paragraph" w:styleId="900">
    <w:name w:val="Heading 2"/>
    <w:basedOn w:val="898"/>
    <w:next w:val="898"/>
    <w:pPr>
      <w:keepNext w:val="true"/>
      <w:keepLines w:val="true"/>
      <w:pageBreakBefore w:val="false"/>
      <w:pBdr/>
      <w:spacing w:after="80" w:before="360"/>
      <w:ind/>
    </w:pPr>
    <w:rPr>
      <w:b/>
      <w:sz w:val="36"/>
      <w:szCs w:val="36"/>
    </w:rPr>
  </w:style>
  <w:style w:type="paragraph" w:styleId="901">
    <w:name w:val="Heading 3"/>
    <w:basedOn w:val="898"/>
    <w:next w:val="898"/>
    <w:pPr>
      <w:keepNext w:val="true"/>
      <w:keepLines w:val="true"/>
      <w:pageBreakBefore w:val="false"/>
      <w:pBdr/>
      <w:spacing w:after="80" w:before="280"/>
      <w:ind/>
    </w:pPr>
    <w:rPr>
      <w:b/>
      <w:sz w:val="28"/>
      <w:szCs w:val="28"/>
    </w:rPr>
  </w:style>
  <w:style w:type="paragraph" w:styleId="902">
    <w:name w:val="Heading 4"/>
    <w:basedOn w:val="898"/>
    <w:next w:val="898"/>
    <w:pPr>
      <w:keepNext w:val="true"/>
      <w:keepLines w:val="true"/>
      <w:pageBreakBefore w:val="false"/>
      <w:pBdr/>
      <w:spacing w:after="40" w:before="240"/>
      <w:ind/>
    </w:pPr>
    <w:rPr>
      <w:b/>
      <w:sz w:val="24"/>
      <w:szCs w:val="24"/>
    </w:rPr>
  </w:style>
  <w:style w:type="paragraph" w:styleId="903">
    <w:name w:val="Heading 5"/>
    <w:basedOn w:val="898"/>
    <w:next w:val="898"/>
    <w:pPr>
      <w:keepNext w:val="true"/>
      <w:keepLines w:val="true"/>
      <w:pageBreakBefore w:val="false"/>
      <w:pBdr/>
      <w:spacing w:after="40" w:before="220"/>
      <w:ind/>
    </w:pPr>
    <w:rPr>
      <w:b/>
      <w:sz w:val="22"/>
      <w:szCs w:val="22"/>
    </w:rPr>
  </w:style>
  <w:style w:type="paragraph" w:styleId="904">
    <w:name w:val="Heading 6"/>
    <w:basedOn w:val="898"/>
    <w:next w:val="898"/>
    <w:pPr>
      <w:keepNext w:val="true"/>
      <w:keepLines w:val="true"/>
      <w:pageBreakBefore w:val="false"/>
      <w:pBdr/>
      <w:spacing w:after="40" w:before="200"/>
      <w:ind/>
    </w:pPr>
    <w:rPr>
      <w:b/>
      <w:sz w:val="20"/>
      <w:szCs w:val="20"/>
    </w:rPr>
  </w:style>
  <w:style w:type="paragraph" w:styleId="905">
    <w:name w:val="Title"/>
    <w:basedOn w:val="898"/>
    <w:next w:val="898"/>
    <w:pPr>
      <w:keepNext w:val="true"/>
      <w:keepLines w:val="true"/>
      <w:pageBreakBefore w:val="false"/>
      <w:pBdr/>
      <w:spacing w:after="120" w:before="480"/>
      <w:ind/>
    </w:pPr>
    <w:rPr>
      <w:b/>
      <w:sz w:val="72"/>
      <w:szCs w:val="72"/>
    </w:rPr>
  </w:style>
  <w:style w:type="paragraph" w:styleId="906">
    <w:name w:val="Subtitle"/>
    <w:basedOn w:val="898"/>
    <w:next w:val="898"/>
    <w:pPr>
      <w:keepNext w:val="true"/>
      <w:keepLines w:val="true"/>
      <w:pageBreakBefore w:val="false"/>
      <w:pBdr/>
      <w:spacing w:after="80" w:before="360"/>
      <w:ind/>
    </w:pPr>
    <w:rPr>
      <w:rFonts w:ascii="Georgia" w:hAnsi="Georgia" w:eastAsia="Georgia" w:cs="Georgia"/>
      <w:i/>
      <w:color w:val="666666"/>
      <w:sz w:val="48"/>
      <w:szCs w:val="48"/>
    </w:rPr>
  </w:style>
  <w:style w:type="table" w:styleId="907">
    <w:name w:val="StGen0"/>
    <w:basedOn w:val="897"/>
    <w:pPr>
      <w:pBdr/>
      <w:spacing w:after="0" w:line="240" w:lineRule="auto"/>
      <w:ind/>
    </w:pPr>
    <w:tblPr>
      <w:tblStyleRowBandSize w:val="1"/>
      <w:tblStyleColBandSize w:val="1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png"/><Relationship Id="rId12" Type="http://schemas.openxmlformats.org/officeDocument/2006/relationships/hyperlink" Target="https://www.numerisud.com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onlyoffice/8.3.3.18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 BOUSSET</cp:lastModifiedBy>
  <cp:revision>1</cp:revision>
  <dcterms:modified xsi:type="dcterms:W3CDTF">2025-10-10T09:59:48Z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